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b w:val="1"/>
        </w:rPr>
      </w:pPr>
      <w:r w:rsidDel="00000000" w:rsidR="00000000" w:rsidRPr="00000000">
        <w:rPr>
          <w:b w:val="1"/>
          <w:rtl w:val="0"/>
        </w:rPr>
        <w:t xml:space="preserve">Captions - Framing Images</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How close are you to incarceration? Visitors to the States of Incarceration exhibition ask themselves a series of questions, as seen on multiple display boards, that reflect major indicators of the likelihood of incarceration.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Attendees are encouraged to share their thoughts, feelings, and experiences with incarceration on tags, while exploring the States of Incarceration exhibition.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individual stories shared at the exhibition on tags show how mass incarceration is a national issue, but also impacts our country on a local and individual level.</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Contributors and visitors alike have unique experiences with incarceration. Each are encouraged to share their feelings after walking through the exhibition.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States of Incarceration is not the work of an individual. In fact, people from 22 cities across the country contributed their unique experiences to form the traveling exhibit and web platform.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Incarceration is an intersectional issue. Contributors to States of Incarceration strived to illuminate the multitude of interrelated issues such as mental health, social justice, colonization, and more, to make up the exhibition.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What role do public history projects play in the social justice movement? During the formation of States of Incarceration, contributors each answered this question in order to build the exhibit in to what it is today.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Humanities Action Lab has had a variety of host institutions. For States of Incarceration, The New School in New York, New York served as the project hub.</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Who should be involved in this project, and how might we engage them? States of Incarceration strives to make national issues relevant on a local level. Therefore, both universities and local issue organizations in their communities worked together to build each segment of the exhibition.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 April 2016, States of Incarceration opened in New York City. Criminal justice reform advocates were invited to speak during the exhibition’s opening weekend.</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